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1146D" w14:textId="77777777" w:rsidR="008A5475" w:rsidRDefault="008A5475" w:rsidP="00642EDF">
      <w:pPr>
        <w:rPr>
          <w:b/>
          <w:bCs/>
        </w:rPr>
      </w:pPr>
    </w:p>
    <w:p w14:paraId="0CB04C02" w14:textId="77777777" w:rsidR="008A5475" w:rsidRDefault="008A5475" w:rsidP="00642EDF">
      <w:pPr>
        <w:rPr>
          <w:b/>
          <w:bCs/>
        </w:rPr>
      </w:pPr>
    </w:p>
    <w:p w14:paraId="757D8598" w14:textId="4CE873D3" w:rsidR="00404389" w:rsidRPr="00642EDF" w:rsidRDefault="00404389" w:rsidP="00642EDF">
      <w:pPr>
        <w:rPr>
          <w:rFonts w:asciiTheme="minorHAnsi" w:hAnsiTheme="minorHAnsi"/>
          <w:b/>
          <w:bCs/>
          <w:sz w:val="22"/>
          <w:lang w:val="nl-BE"/>
        </w:rPr>
      </w:pPr>
      <w:r w:rsidRPr="00642EDF">
        <w:rPr>
          <w:b/>
          <w:bCs/>
        </w:rPr>
        <w:t xml:space="preserve">Model gemeenteraadsbesluit </w:t>
      </w:r>
    </w:p>
    <w:p w14:paraId="6B7B1A24" w14:textId="3670C8F9" w:rsidR="00404389" w:rsidRPr="00642EDF" w:rsidRDefault="00404389" w:rsidP="00642EDF">
      <w:pPr>
        <w:rPr>
          <w:b/>
          <w:bCs/>
        </w:rPr>
      </w:pPr>
      <w:r w:rsidRPr="00642EDF">
        <w:rPr>
          <w:b/>
          <w:bCs/>
        </w:rPr>
        <w:t>Toewijzingsreglement</w:t>
      </w:r>
    </w:p>
    <w:p w14:paraId="6CA6D614" w14:textId="77777777" w:rsidR="00404389" w:rsidRPr="00642EDF" w:rsidRDefault="00404389" w:rsidP="00642EDF">
      <w:pPr>
        <w:rPr>
          <w:b/>
          <w:bCs/>
        </w:rPr>
      </w:pPr>
    </w:p>
    <w:p w14:paraId="576FB8F9" w14:textId="77777777" w:rsidR="00404389" w:rsidRPr="00642EDF" w:rsidRDefault="00404389" w:rsidP="00642EDF">
      <w:pPr>
        <w:rPr>
          <w:b/>
          <w:bCs/>
        </w:rPr>
      </w:pPr>
      <w:r w:rsidRPr="00642EDF">
        <w:rPr>
          <w:b/>
          <w:bCs/>
        </w:rPr>
        <w:t>Aanleiding en context</w:t>
      </w:r>
    </w:p>
    <w:p w14:paraId="32BD6652" w14:textId="68A62E4F" w:rsidR="00404389" w:rsidRPr="00642EDF" w:rsidRDefault="00404389" w:rsidP="00642EDF">
      <w:r w:rsidRPr="00642EDF">
        <w:t xml:space="preserve">Met de vorming van de nieuwe woonmaatschappijen zal op 1 januari 2024 ook een nieuw toewijsmodel in werking treden. De Vlaamse overheid schetste een breed kader waarmee de toewijzingsraden van de woonmaatschappijen aan de slag gaan om tot een concrete invulling te komen. </w:t>
      </w:r>
    </w:p>
    <w:p w14:paraId="1E5F2B8C" w14:textId="41535D1F" w:rsidR="00404389" w:rsidRPr="00642EDF" w:rsidRDefault="004C54A4" w:rsidP="00642EDF">
      <w:r w:rsidRPr="00642EDF">
        <w:t xml:space="preserve">De toewijzingsraad van Woonmaatschappij Vlaamse Ardennen kwam een eerste keer samen op 24 mei 2023. Tijdens dit overleg werd het nieuwe kader uitgelegd aan de gemeenten uit het werkingsgebied. Lokale binding en </w:t>
      </w:r>
      <w:r w:rsidR="008B77EE" w:rsidRPr="00642EDF">
        <w:t xml:space="preserve">het </w:t>
      </w:r>
      <w:r w:rsidRPr="00642EDF">
        <w:t xml:space="preserve">bepalen van doelgroepen kwamen aan bod. De toewijzingscijfers van de voorbije 5 jaar werden geanalyseerd en afgetoetst aan pijler 2. Tijdens de tweede toewijzingsraad op 13 juni 2023 werd dieper ingegaan op de toewijzingen binnen pijler 2. Er werd een kader opgesteld waarin aanmelding en spreiding werden opgenomen. Hieruit volgde een eerste ontwerp van het huishoudelijk reglement. Tijdens de derde toewijzingsraad </w:t>
      </w:r>
      <w:r w:rsidR="008B77EE" w:rsidRPr="00642EDF">
        <w:t xml:space="preserve">werden </w:t>
      </w:r>
      <w:r w:rsidRPr="00642EDF">
        <w:t xml:space="preserve">de 5 toegevoegde gemeenten van het werkingsgebied </w:t>
      </w:r>
      <w:r w:rsidR="008B77EE" w:rsidRPr="00642EDF">
        <w:t xml:space="preserve">bijkomend uitgenodigd </w:t>
      </w:r>
      <w:r w:rsidRPr="00642EDF">
        <w:t>en werd aan hen verslag uitgebracht.</w:t>
      </w:r>
      <w:r w:rsidR="00F725D4" w:rsidRPr="00642EDF">
        <w:t xml:space="preserve"> Het overleg resulteerde in een toewijzingsreglement en de opmaak van een huishoudelijk reglement.</w:t>
      </w:r>
    </w:p>
    <w:p w14:paraId="2D0F71AC" w14:textId="77777777" w:rsidR="00404389" w:rsidRPr="00642EDF" w:rsidRDefault="00404389" w:rsidP="00642EDF">
      <w:r w:rsidRPr="00642EDF">
        <w:t xml:space="preserve">De woonmaatschappij neemt het initiatief om een toewijzingsraad op te richten. Alle gemeenten van het werkingsgebied zijn vertegenwoordigd in de toewijzingsraad, aangevuld met relevante huisvestings- en welzijnsactoren uit het werkingsgebied van de woonmaatschappij. De woonmaatschappij zit de toewijzingsraad voor. </w:t>
      </w:r>
    </w:p>
    <w:p w14:paraId="46074D85" w14:textId="3E2B4F57" w:rsidR="00404389" w:rsidRPr="00642EDF" w:rsidRDefault="00F725D4" w:rsidP="00642EDF">
      <w:r w:rsidRPr="00642EDF">
        <w:t xml:space="preserve">De woonmaatschappij opteerde voor een toewijzingsraad waarin de lokale besturen werden vertegenwoordigd in de hoedanigheid van de Schepen van Wonen en een afgevaardigde van de sociale dienst van de gemeente. Verder werden de gemeenten uit het werkingsgebied tevens vertegenwoordigd door de </w:t>
      </w:r>
      <w:r w:rsidR="008B77EE" w:rsidRPr="00642EDF">
        <w:t>vaste vertegenwoordiger namens het lokaal bestuur in de</w:t>
      </w:r>
      <w:r w:rsidRPr="00642EDF">
        <w:t xml:space="preserve"> Raad van bestuur van de Woonmaatschappij. De toewijzingsraad werd aangevuld door de directeur van de Woonmaatschappij, het diensthoofd Klantenrelaties en wordt voorgezeten door de voorzitter </w:t>
      </w:r>
      <w:r w:rsidR="00404389" w:rsidRPr="00642EDF">
        <w:t xml:space="preserve"> </w:t>
      </w:r>
      <w:r w:rsidRPr="00642EDF">
        <w:t>van de Woonmaatschappij.</w:t>
      </w:r>
    </w:p>
    <w:p w14:paraId="63A0B2C0" w14:textId="24B735A7" w:rsidR="00404389" w:rsidRPr="00642EDF" w:rsidRDefault="00404389" w:rsidP="00642EDF">
      <w:r w:rsidRPr="00642EDF">
        <w:t>De toewijzingsraad van Woonmaatschappij</w:t>
      </w:r>
      <w:r w:rsidR="00F725D4" w:rsidRPr="00642EDF">
        <w:t xml:space="preserve"> Vlaamse Ardennen</w:t>
      </w:r>
      <w:r w:rsidRPr="00642EDF">
        <w:t xml:space="preserve"> heeft op basis van het nieuwe regelgevend kader en </w:t>
      </w:r>
      <w:r w:rsidR="00F725D4" w:rsidRPr="00642EDF">
        <w:t xml:space="preserve">bovenstaand traject van de toewijzingsraad </w:t>
      </w:r>
      <w:r w:rsidRPr="00642EDF">
        <w:t>een ontwerp van toewijzingsreglement opgemaakt. Hierbij is lokaal maatwerk mogelijk voor enerzijds het instellen van een strengere lokale bindingsvoorwaarde (pijler 1) en anderzijds voor het afbakenen van specifieke doelgroepen (pijler 3).</w:t>
      </w:r>
    </w:p>
    <w:p w14:paraId="26F651AF" w14:textId="44F0785B" w:rsidR="00404389" w:rsidRPr="00642EDF" w:rsidRDefault="00404389" w:rsidP="00642EDF">
      <w:r w:rsidRPr="00642EDF">
        <w:t xml:space="preserve">Daarnaast schrijft de regelgeving ook voor dat de woonmaatschappij de gemeente op de hoogte brengt van de beslissingen met betrekking tot de versnelde toewijzingen (pijler 2). De gemeenteraad </w:t>
      </w:r>
      <w:r w:rsidR="008B77EE" w:rsidRPr="00642EDF">
        <w:t>neemt hier kennis van.</w:t>
      </w:r>
    </w:p>
    <w:p w14:paraId="52A8698F" w14:textId="27AB3080" w:rsidR="00404389" w:rsidRPr="00642EDF" w:rsidRDefault="00404389" w:rsidP="00642EDF">
      <w:r w:rsidRPr="00642EDF">
        <w:t>De woonmaatschappij integreert de goedgekeurde toewijzingsreglementen in het definitieve toewijzingsreglement. De woonmaatschappij bezorgt vervolgens het toewijzingsreglement aan de minister opdat hij zijn vernietigingstoezicht kan uitoefenen</w:t>
      </w:r>
      <w:r w:rsidR="00711DC3" w:rsidRPr="00642EDF">
        <w:rPr>
          <w:rStyle w:val="Voetnootmarkering"/>
        </w:rPr>
        <w:footnoteReference w:id="2"/>
      </w:r>
      <w:r w:rsidRPr="00642EDF">
        <w:t xml:space="preserve">. </w:t>
      </w:r>
    </w:p>
    <w:p w14:paraId="1348B343" w14:textId="40E2E7C2" w:rsidR="00404389" w:rsidRPr="00642EDF" w:rsidRDefault="00404389" w:rsidP="00642EDF">
      <w:pPr>
        <w:spacing w:after="0" w:line="240" w:lineRule="auto"/>
        <w:rPr>
          <w:rFonts w:cs="Arial"/>
          <w:color w:val="000000"/>
          <w:sz w:val="28"/>
          <w:szCs w:val="28"/>
        </w:rPr>
      </w:pPr>
    </w:p>
    <w:p w14:paraId="716954B1" w14:textId="77777777" w:rsidR="008A5475" w:rsidRPr="00642EDF" w:rsidRDefault="008A5475" w:rsidP="00642EDF">
      <w:pPr>
        <w:spacing w:after="0" w:line="240" w:lineRule="auto"/>
        <w:rPr>
          <w:rFonts w:cs="Arial"/>
          <w:color w:val="000000"/>
          <w:sz w:val="28"/>
          <w:szCs w:val="28"/>
        </w:rPr>
      </w:pPr>
    </w:p>
    <w:p w14:paraId="4F08C033" w14:textId="77777777" w:rsidR="008A5475" w:rsidRPr="00642EDF" w:rsidRDefault="008A5475" w:rsidP="00642EDF">
      <w:pPr>
        <w:spacing w:after="0" w:line="240" w:lineRule="auto"/>
        <w:rPr>
          <w:rFonts w:cs="Arial"/>
          <w:color w:val="000000"/>
          <w:sz w:val="28"/>
          <w:szCs w:val="28"/>
        </w:rPr>
      </w:pPr>
    </w:p>
    <w:p w14:paraId="4399C2E2" w14:textId="77777777" w:rsidR="008A5475" w:rsidRPr="00642EDF" w:rsidRDefault="008A5475" w:rsidP="00642EDF">
      <w:pPr>
        <w:spacing w:after="0" w:line="240" w:lineRule="auto"/>
        <w:rPr>
          <w:rFonts w:cs="Arial"/>
          <w:color w:val="000000"/>
          <w:sz w:val="28"/>
          <w:szCs w:val="28"/>
        </w:rPr>
      </w:pPr>
    </w:p>
    <w:p w14:paraId="4223E6C1" w14:textId="77777777" w:rsidR="008A5475" w:rsidRPr="00642EDF" w:rsidRDefault="008A5475" w:rsidP="00642EDF">
      <w:pPr>
        <w:spacing w:after="0" w:line="240" w:lineRule="auto"/>
        <w:rPr>
          <w:rFonts w:cs="Arial"/>
          <w:color w:val="000000"/>
          <w:sz w:val="28"/>
          <w:szCs w:val="28"/>
        </w:rPr>
      </w:pPr>
    </w:p>
    <w:p w14:paraId="367F7EF8" w14:textId="77777777" w:rsidR="008A5475" w:rsidRPr="00642EDF" w:rsidRDefault="008A5475" w:rsidP="00642EDF">
      <w:pPr>
        <w:spacing w:after="0" w:line="240" w:lineRule="auto"/>
        <w:rPr>
          <w:rFonts w:cs="Arial"/>
          <w:color w:val="000000"/>
          <w:sz w:val="28"/>
          <w:szCs w:val="28"/>
        </w:rPr>
      </w:pPr>
    </w:p>
    <w:p w14:paraId="51784F54" w14:textId="77777777" w:rsidR="008A5475" w:rsidRPr="00642EDF" w:rsidRDefault="008A5475" w:rsidP="00642EDF">
      <w:pPr>
        <w:pStyle w:val="Kop7"/>
        <w:rPr>
          <w:i w:val="0"/>
          <w:iCs/>
        </w:rPr>
      </w:pPr>
    </w:p>
    <w:p w14:paraId="3214B687" w14:textId="5436B2DB" w:rsidR="00CB2E6E" w:rsidRPr="00642EDF" w:rsidRDefault="0090386E" w:rsidP="00642EDF">
      <w:pPr>
        <w:pStyle w:val="Kop7"/>
        <w:rPr>
          <w:i w:val="0"/>
          <w:iCs/>
        </w:rPr>
      </w:pPr>
      <w:r w:rsidRPr="00642EDF">
        <w:rPr>
          <w:i w:val="0"/>
          <w:iCs/>
        </w:rPr>
        <w:t>Motivering</w:t>
      </w:r>
    </w:p>
    <w:p w14:paraId="3F24B6FC" w14:textId="77777777" w:rsidR="00DD2ADA" w:rsidRPr="00642EDF" w:rsidRDefault="00DD2ADA" w:rsidP="00642EDF">
      <w:r w:rsidRPr="00642EDF">
        <w:t>Het toewijzingsreglement past in elke gemeente een gelijke langdurige woonbinding toe. Deze langdurige woonbinding is de langdurige woonbinding met de gemeente zoals die werd opgenomen in artikel 6.23 §1 van het BVCW.</w:t>
      </w:r>
    </w:p>
    <w:p w14:paraId="4E82E450" w14:textId="77777777" w:rsidR="00DD2ADA" w:rsidRPr="00642EDF" w:rsidRDefault="00DD2ADA" w:rsidP="00642EDF">
      <w:r w:rsidRPr="00642EDF">
        <w:t>De langdurige woonbinding met de gemeente wordt in dit artikel als volgt omschreven:</w:t>
      </w:r>
    </w:p>
    <w:p w14:paraId="0E7DB685" w14:textId="77777777" w:rsidR="00DD2ADA" w:rsidRPr="00642EDF" w:rsidRDefault="00DD2ADA" w:rsidP="00642EDF">
      <w:pPr>
        <w:spacing w:after="200" w:line="276" w:lineRule="auto"/>
      </w:pPr>
      <w:r w:rsidRPr="00642EDF">
        <w:t xml:space="preserve">Onder langdurige woonbinding met de gemeente wordt de binding verstaan die een kandidaat-huurder heeft met een gemeente van een woonmaatschappij als hij in de periode van tien jaar voor de toewijzing minstens vijf jaar ononderbroken inwoner is of geweest is van de gemeente van de woonmaatschappij waar de toe te wijzen woning ligt. </w:t>
      </w:r>
    </w:p>
    <w:p w14:paraId="41764BB2" w14:textId="7F07BCC4" w:rsidR="00CB2E6E" w:rsidRPr="00642EDF" w:rsidRDefault="00CB2E6E" w:rsidP="00642EDF">
      <w:r w:rsidRPr="00642EDF">
        <w:t>Daarnaast heeft de toewijzingsraad bij consensus</w:t>
      </w:r>
      <w:r w:rsidRPr="00642EDF">
        <w:rPr>
          <w:rStyle w:val="Voetnootmarkering"/>
        </w:rPr>
        <w:footnoteReference w:id="3"/>
      </w:r>
      <w:r w:rsidRPr="00642EDF">
        <w:t xml:space="preserve"> beslist dat na de langdurige woonbinding met de gemeente wel rekening wordt gehouden met de langdurige woonbinding van de kandidaat-huurder met het werkingsgebied van de woonmaatschappij. </w:t>
      </w:r>
    </w:p>
    <w:p w14:paraId="68162C58" w14:textId="77777777" w:rsidR="00DD2ADA" w:rsidRPr="00642EDF" w:rsidRDefault="00DD2ADA" w:rsidP="00642EDF">
      <w:pPr>
        <w:spacing w:after="200" w:line="276" w:lineRule="auto"/>
      </w:pPr>
      <w:r w:rsidRPr="00642EDF">
        <w:t>De langdurige woonbinding met het werkingsgebied wordt als volgt omschreven:</w:t>
      </w:r>
    </w:p>
    <w:p w14:paraId="35B0262E" w14:textId="77777777" w:rsidR="00DD2ADA" w:rsidRPr="00642EDF" w:rsidRDefault="00DD2ADA" w:rsidP="00642EDF">
      <w:pPr>
        <w:spacing w:after="200" w:line="276" w:lineRule="auto"/>
      </w:pPr>
      <w:r w:rsidRPr="00642EDF">
        <w:t xml:space="preserve">Onder langdurige woonbinding met het werkingsgebied wordt de binding verstaan die een kandidaat-huurder heeft met een gemeente uit het werkingsgebied van een woonmaatschappij als hij in de periode van tien jaar voor de toewijzing minstens vijf jaar ononderbroken inwoner is of geweest is van één van de gemeenten uit het werkingsgebied van de woonmaatschappij waar de toe te wijzen woning ligt. </w:t>
      </w:r>
    </w:p>
    <w:p w14:paraId="212C7AA6" w14:textId="40F0B10A" w:rsidR="00DD2ADA" w:rsidRPr="00642EDF" w:rsidRDefault="00CB2E6E" w:rsidP="00642EDF">
      <w:r w:rsidRPr="00642EDF">
        <w:t xml:space="preserve">Binnen de toewijzingsraad werd besloten om </w:t>
      </w:r>
      <w:r w:rsidR="00CF45B1" w:rsidRPr="00642EDF">
        <w:t xml:space="preserve">de aanmeldingen binnen pijler 2 te laten gebeuren door de sociale dienst van de gemeenten en door de welzijnsorganisaties die actief zijn op het werkingsgebied. Om een regionale spreiding te garanderen werd er een verdeling afgesproken tussen de gemeenten op basis van het gewogen gemiddelde van het stemrecht binnen de Woonmaatschappij. Een aanmelding gebeurt </w:t>
      </w:r>
      <w:proofErr w:type="spellStart"/>
      <w:r w:rsidR="00CF45B1" w:rsidRPr="00642EDF">
        <w:t>dmv</w:t>
      </w:r>
      <w:proofErr w:type="spellEnd"/>
      <w:r w:rsidR="00CF45B1" w:rsidRPr="00642EDF">
        <w:t xml:space="preserve"> een sociaal verslag</w:t>
      </w:r>
      <w:r w:rsidR="00C2696D" w:rsidRPr="00642EDF">
        <w:t xml:space="preserve"> en wordt gekoppeld aan een begeleidingsovereenkomst.</w:t>
      </w:r>
      <w:r w:rsidR="00A963CB" w:rsidRPr="00642EDF">
        <w:t xml:space="preserve"> </w:t>
      </w:r>
    </w:p>
    <w:p w14:paraId="226FB3D8" w14:textId="4DA97359" w:rsidR="00C2696D" w:rsidRPr="00642EDF" w:rsidRDefault="00C2696D" w:rsidP="00642EDF">
      <w:r w:rsidRPr="00642EDF">
        <w:t>Binnen pijler 3 werden de doelgro</w:t>
      </w:r>
      <w:r w:rsidR="005D6FF1" w:rsidRPr="00642EDF">
        <w:t>e</w:t>
      </w:r>
      <w:r w:rsidRPr="00642EDF">
        <w:t xml:space="preserve">pen </w:t>
      </w:r>
      <w:r w:rsidR="00DD2ADA" w:rsidRPr="00642EDF">
        <w:t xml:space="preserve">per gemeente </w:t>
      </w:r>
      <w:r w:rsidRPr="00642EDF">
        <w:t>bepaald waarvoor er momenteel reeds een goedgekeurd lokaal toewijzingsreglement bestaat. De lokale toewijzingsreglementen blijven van kracht in de gemeenten van het werkingsgebied waar deze reeds goedgekeurd werden.</w:t>
      </w:r>
    </w:p>
    <w:p w14:paraId="6EE3BE9E" w14:textId="77777777" w:rsidR="00CB2E6E" w:rsidRPr="00642EDF" w:rsidRDefault="00CB2E6E" w:rsidP="00642EDF">
      <w:pPr>
        <w:spacing w:after="0" w:line="240" w:lineRule="auto"/>
        <w:rPr>
          <w:rFonts w:cs="Arial"/>
          <w:color w:val="000000"/>
          <w:sz w:val="28"/>
          <w:szCs w:val="28"/>
        </w:rPr>
      </w:pPr>
    </w:p>
    <w:p w14:paraId="5990A79F" w14:textId="101F596A" w:rsidR="00CB2E6E" w:rsidRPr="00642EDF" w:rsidRDefault="00404389" w:rsidP="00642EDF">
      <w:pPr>
        <w:rPr>
          <w:b/>
          <w:bCs/>
        </w:rPr>
      </w:pPr>
      <w:r w:rsidRPr="00642EDF">
        <w:rPr>
          <w:b/>
          <w:bCs/>
        </w:rPr>
        <w:t xml:space="preserve">Juridische </w:t>
      </w:r>
      <w:r w:rsidR="00CB2E6E" w:rsidRPr="00642EDF">
        <w:rPr>
          <w:b/>
          <w:bCs/>
        </w:rPr>
        <w:t>grond</w:t>
      </w:r>
    </w:p>
    <w:p w14:paraId="65E43F7A" w14:textId="77777777" w:rsidR="00CB2E6E" w:rsidRPr="00642EDF" w:rsidRDefault="00CB2E6E" w:rsidP="00642EDF">
      <w:r w:rsidRPr="00642EDF">
        <w:t>Vlaamse Codex Wonen van 2021, meer bepaald artikels 6.12 t.e.m. 6.14.</w:t>
      </w:r>
    </w:p>
    <w:p w14:paraId="00641606" w14:textId="77777777" w:rsidR="00CB2E6E" w:rsidRPr="00642EDF" w:rsidRDefault="00CB2E6E" w:rsidP="00642EDF">
      <w:r w:rsidRPr="00642EDF">
        <w:t>Besluit van de Vlaamse Regering tot uitvoering van de Vlaamse Codex Wonen van 2021, meer bepaald artikels 6.22 t.e.m. 6.28.</w:t>
      </w:r>
    </w:p>
    <w:p w14:paraId="0EA5F078" w14:textId="564AACC0" w:rsidR="00CB2E6E" w:rsidRPr="00642EDF" w:rsidRDefault="00CB2E6E" w:rsidP="00642EDF">
      <w:r w:rsidRPr="00642EDF">
        <w:t>De installatie van de toewijzingsraad van Woonmaatschap</w:t>
      </w:r>
      <w:r w:rsidR="0090386E" w:rsidRPr="00642EDF">
        <w:t>pij</w:t>
      </w:r>
      <w:r w:rsidR="00C2696D" w:rsidRPr="00642EDF">
        <w:t xml:space="preserve"> Vlaamse Ardennen</w:t>
      </w:r>
      <w:r w:rsidR="0090386E" w:rsidRPr="00642EDF">
        <w:t xml:space="preserve">, </w:t>
      </w:r>
      <w:r w:rsidRPr="00642EDF">
        <w:t xml:space="preserve">zoals goedgekeurd door het bestuursorgaan van </w:t>
      </w:r>
      <w:r w:rsidR="0090386E" w:rsidRPr="00642EDF">
        <w:t>Woonmaatschappij</w:t>
      </w:r>
      <w:r w:rsidR="00C2696D" w:rsidRPr="00642EDF">
        <w:t xml:space="preserve"> Vlaamse Ardennen</w:t>
      </w:r>
      <w:r w:rsidRPr="00642EDF">
        <w:t xml:space="preserve">, </w:t>
      </w:r>
      <w:proofErr w:type="spellStart"/>
      <w:r w:rsidRPr="00642EDF">
        <w:t>d.d</w:t>
      </w:r>
      <w:proofErr w:type="spellEnd"/>
      <w:r w:rsidR="00CA3B37" w:rsidRPr="00642EDF">
        <w:t xml:space="preserve"> 5 mei 2023</w:t>
      </w:r>
      <w:r w:rsidRPr="00642EDF">
        <w:t>.</w:t>
      </w:r>
    </w:p>
    <w:p w14:paraId="20DD53CA" w14:textId="77777777" w:rsidR="00CB2E6E" w:rsidRPr="00642EDF" w:rsidRDefault="00CB2E6E" w:rsidP="00642EDF">
      <w:pPr>
        <w:rPr>
          <w:rFonts w:asciiTheme="minorHAnsi" w:eastAsiaTheme="minorHAnsi" w:hAnsiTheme="minorHAnsi" w:cstheme="minorBidi"/>
          <w:b/>
          <w:bCs/>
          <w:sz w:val="22"/>
          <w:szCs w:val="22"/>
          <w:lang w:eastAsia="en-US"/>
        </w:rPr>
      </w:pPr>
    </w:p>
    <w:p w14:paraId="3CE88647" w14:textId="77777777" w:rsidR="0090386E" w:rsidRPr="00642EDF" w:rsidRDefault="0090386E" w:rsidP="00642EDF">
      <w:pPr>
        <w:pStyle w:val="Kop8"/>
        <w:rPr>
          <w:b/>
          <w:bCs/>
          <w:i w:val="0"/>
          <w:iCs/>
        </w:rPr>
      </w:pPr>
      <w:r w:rsidRPr="00642EDF">
        <w:rPr>
          <w:b/>
          <w:bCs/>
          <w:i w:val="0"/>
          <w:iCs/>
        </w:rPr>
        <w:t>Financiële en beleidsinformatie</w:t>
      </w:r>
    </w:p>
    <w:p w14:paraId="3F742A6F" w14:textId="77777777" w:rsidR="0090386E" w:rsidRPr="00642EDF" w:rsidRDefault="0090386E" w:rsidP="00642EDF">
      <w:r w:rsidRPr="00642EDF">
        <w:t>Niet van toepassing</w:t>
      </w:r>
    </w:p>
    <w:p w14:paraId="145E1C0C" w14:textId="77777777" w:rsidR="008A5475" w:rsidRPr="00642EDF" w:rsidRDefault="008A5475" w:rsidP="00642EDF">
      <w:pPr>
        <w:spacing w:after="0" w:line="240" w:lineRule="auto"/>
      </w:pPr>
    </w:p>
    <w:p w14:paraId="1A898AC8" w14:textId="77777777" w:rsidR="00404389" w:rsidRPr="00642EDF" w:rsidRDefault="00404389" w:rsidP="00642EDF">
      <w:pPr>
        <w:rPr>
          <w:b/>
          <w:bCs/>
        </w:rPr>
      </w:pPr>
      <w:r w:rsidRPr="00642EDF">
        <w:rPr>
          <w:b/>
          <w:bCs/>
        </w:rPr>
        <w:t>Besluit</w:t>
      </w:r>
    </w:p>
    <w:p w14:paraId="299DD76D" w14:textId="1FD3314C" w:rsidR="00404389" w:rsidRPr="00642EDF" w:rsidRDefault="00404389" w:rsidP="00642EDF">
      <w:r w:rsidRPr="00642EDF">
        <w:t>De gemeenteraad beslist:</w:t>
      </w:r>
    </w:p>
    <w:p w14:paraId="0416F64C" w14:textId="7FF3723C" w:rsidR="0090386E" w:rsidRPr="00642EDF" w:rsidRDefault="0090386E" w:rsidP="00642EDF"/>
    <w:p w14:paraId="1F0F89AF" w14:textId="77777777" w:rsidR="0090386E" w:rsidRPr="00642EDF" w:rsidRDefault="0090386E" w:rsidP="00642EDF">
      <w:pPr>
        <w:pStyle w:val="Kop8"/>
        <w:rPr>
          <w:rFonts w:asciiTheme="minorHAnsi" w:hAnsiTheme="minorHAnsi" w:cstheme="minorHAnsi"/>
          <w:b/>
          <w:bCs/>
          <w:sz w:val="20"/>
        </w:rPr>
      </w:pPr>
      <w:r w:rsidRPr="00642EDF">
        <w:rPr>
          <w:rFonts w:asciiTheme="minorHAnsi" w:hAnsiTheme="minorHAnsi" w:cstheme="minorHAnsi"/>
          <w:b/>
          <w:bCs/>
          <w:sz w:val="20"/>
        </w:rPr>
        <w:t>Artikel 1</w:t>
      </w:r>
    </w:p>
    <w:p w14:paraId="3221BC3E" w14:textId="77777777" w:rsidR="0090386E" w:rsidRPr="00642EDF" w:rsidRDefault="0090386E" w:rsidP="00642EDF">
      <w:pPr>
        <w:tabs>
          <w:tab w:val="clear" w:pos="8505"/>
        </w:tabs>
        <w:spacing w:after="0" w:line="240" w:lineRule="auto"/>
        <w:jc w:val="left"/>
        <w:rPr>
          <w:rFonts w:asciiTheme="minorHAnsi" w:hAnsiTheme="minorHAnsi" w:cstheme="minorHAnsi"/>
          <w:sz w:val="20"/>
        </w:rPr>
      </w:pPr>
      <w:r w:rsidRPr="00642EDF">
        <w:rPr>
          <w:rFonts w:asciiTheme="minorHAnsi" w:hAnsiTheme="minorHAnsi" w:cstheme="minorHAnsi"/>
          <w:sz w:val="20"/>
        </w:rPr>
        <w:t xml:space="preserve">De gemeenteraad geeft haar goedkeuring aan het ontwerp van toewijzingsreglement zoals voorgelegd door </w:t>
      </w:r>
    </w:p>
    <w:p w14:paraId="533F5CCE" w14:textId="073557B8" w:rsidR="0090386E" w:rsidRPr="00642EDF" w:rsidRDefault="0090386E" w:rsidP="00642EDF">
      <w:pPr>
        <w:tabs>
          <w:tab w:val="clear" w:pos="8505"/>
        </w:tabs>
        <w:spacing w:after="0" w:line="240" w:lineRule="auto"/>
        <w:jc w:val="left"/>
        <w:rPr>
          <w:rFonts w:asciiTheme="minorHAnsi" w:hAnsiTheme="minorHAnsi" w:cstheme="minorHAnsi"/>
          <w:sz w:val="20"/>
        </w:rPr>
      </w:pPr>
      <w:r w:rsidRPr="00642EDF">
        <w:rPr>
          <w:rFonts w:asciiTheme="minorHAnsi" w:hAnsiTheme="minorHAnsi" w:cstheme="minorHAnsi"/>
          <w:sz w:val="20"/>
        </w:rPr>
        <w:t xml:space="preserve">de toewijzingsraad  van Woonmaatschappij </w:t>
      </w:r>
      <w:r w:rsidR="00C2696D" w:rsidRPr="00642EDF">
        <w:rPr>
          <w:rFonts w:asciiTheme="minorHAnsi" w:hAnsiTheme="minorHAnsi" w:cstheme="minorHAnsi"/>
          <w:sz w:val="20"/>
        </w:rPr>
        <w:t>Vlaamse Ardennen</w:t>
      </w:r>
      <w:r w:rsidRPr="00642EDF">
        <w:rPr>
          <w:rFonts w:asciiTheme="minorHAnsi" w:hAnsiTheme="minorHAnsi" w:cstheme="minorHAnsi"/>
          <w:sz w:val="20"/>
        </w:rPr>
        <w:t>.</w:t>
      </w:r>
    </w:p>
    <w:p w14:paraId="23AC9C46" w14:textId="77777777" w:rsidR="00BE5308" w:rsidRPr="00642EDF" w:rsidRDefault="00BE5308" w:rsidP="00642EDF">
      <w:pPr>
        <w:tabs>
          <w:tab w:val="clear" w:pos="8505"/>
        </w:tabs>
        <w:spacing w:after="0" w:line="240" w:lineRule="auto"/>
        <w:jc w:val="left"/>
        <w:rPr>
          <w:rFonts w:asciiTheme="minorHAnsi" w:hAnsiTheme="minorHAnsi" w:cstheme="minorHAnsi"/>
          <w:sz w:val="20"/>
        </w:rPr>
      </w:pPr>
    </w:p>
    <w:p w14:paraId="40D83336" w14:textId="7C902E78" w:rsidR="0090386E" w:rsidRPr="00642EDF" w:rsidRDefault="0090386E" w:rsidP="00642EDF">
      <w:pPr>
        <w:pStyle w:val="Kop8"/>
        <w:rPr>
          <w:rFonts w:asciiTheme="minorHAnsi" w:hAnsiTheme="minorHAnsi" w:cstheme="minorHAnsi"/>
          <w:b/>
          <w:bCs/>
          <w:sz w:val="20"/>
        </w:rPr>
      </w:pPr>
      <w:r w:rsidRPr="00642EDF">
        <w:rPr>
          <w:rFonts w:asciiTheme="minorHAnsi" w:hAnsiTheme="minorHAnsi" w:cstheme="minorHAnsi"/>
          <w:b/>
          <w:bCs/>
          <w:sz w:val="20"/>
        </w:rPr>
        <w:t xml:space="preserve">Artikel </w:t>
      </w:r>
      <w:r w:rsidR="00143659" w:rsidRPr="00642EDF">
        <w:rPr>
          <w:rFonts w:asciiTheme="minorHAnsi" w:hAnsiTheme="minorHAnsi" w:cstheme="minorHAnsi"/>
          <w:b/>
          <w:bCs/>
          <w:sz w:val="20"/>
        </w:rPr>
        <w:t>2</w:t>
      </w:r>
    </w:p>
    <w:p w14:paraId="4131796E" w14:textId="217D141C" w:rsidR="0090386E" w:rsidRPr="00642EDF" w:rsidRDefault="0090386E" w:rsidP="00642EDF">
      <w:pPr>
        <w:rPr>
          <w:rFonts w:asciiTheme="minorHAnsi" w:hAnsiTheme="minorHAnsi" w:cstheme="minorHAnsi"/>
          <w:sz w:val="20"/>
        </w:rPr>
      </w:pPr>
      <w:r w:rsidRPr="00642EDF">
        <w:rPr>
          <w:rFonts w:asciiTheme="minorHAnsi" w:hAnsiTheme="minorHAnsi" w:cstheme="minorHAnsi"/>
          <w:sz w:val="20"/>
        </w:rPr>
        <w:t xml:space="preserve">De gemeenteraad neemt kennis van de genomen beslissingen door </w:t>
      </w:r>
      <w:r w:rsidR="00B05FC4" w:rsidRPr="00642EDF">
        <w:rPr>
          <w:rFonts w:asciiTheme="minorHAnsi" w:hAnsiTheme="minorHAnsi" w:cstheme="minorHAnsi"/>
          <w:sz w:val="20"/>
        </w:rPr>
        <w:t xml:space="preserve">de toewijzingsraad van </w:t>
      </w:r>
      <w:r w:rsidRPr="00642EDF">
        <w:rPr>
          <w:rFonts w:asciiTheme="minorHAnsi" w:hAnsiTheme="minorHAnsi" w:cstheme="minorHAnsi"/>
          <w:sz w:val="20"/>
        </w:rPr>
        <w:t xml:space="preserve">Woonmaatschappij </w:t>
      </w:r>
      <w:r w:rsidR="00C2696D" w:rsidRPr="00642EDF">
        <w:rPr>
          <w:rFonts w:asciiTheme="minorHAnsi" w:hAnsiTheme="minorHAnsi" w:cstheme="minorHAnsi"/>
          <w:sz w:val="20"/>
        </w:rPr>
        <w:t>Vlaamse Ardennen</w:t>
      </w:r>
      <w:r w:rsidRPr="00642EDF">
        <w:rPr>
          <w:rFonts w:asciiTheme="minorHAnsi" w:hAnsiTheme="minorHAnsi" w:cstheme="minorHAnsi"/>
          <w:sz w:val="20"/>
        </w:rPr>
        <w:t xml:space="preserve"> met betrekking tot de versnelde toewijzingen (pijler 2). </w:t>
      </w:r>
    </w:p>
    <w:p w14:paraId="4488D753" w14:textId="77777777" w:rsidR="00BE5308" w:rsidRPr="00642EDF" w:rsidRDefault="00BE5308" w:rsidP="00642EDF">
      <w:pPr>
        <w:rPr>
          <w:rFonts w:asciiTheme="minorHAnsi" w:hAnsiTheme="minorHAnsi" w:cstheme="minorHAnsi"/>
          <w:b/>
          <w:bCs/>
          <w:i/>
          <w:iCs/>
          <w:sz w:val="20"/>
        </w:rPr>
      </w:pPr>
    </w:p>
    <w:p w14:paraId="220C507F" w14:textId="6CBDB2FF" w:rsidR="0090386E" w:rsidRPr="00642EDF" w:rsidRDefault="0090386E" w:rsidP="00642EDF">
      <w:pPr>
        <w:rPr>
          <w:rFonts w:asciiTheme="minorHAnsi" w:hAnsiTheme="minorHAnsi" w:cstheme="minorHAnsi"/>
          <w:b/>
          <w:bCs/>
          <w:i/>
          <w:iCs/>
          <w:sz w:val="20"/>
        </w:rPr>
      </w:pPr>
      <w:r w:rsidRPr="00642EDF">
        <w:rPr>
          <w:rFonts w:asciiTheme="minorHAnsi" w:hAnsiTheme="minorHAnsi" w:cstheme="minorHAnsi"/>
          <w:b/>
          <w:bCs/>
          <w:i/>
          <w:iCs/>
          <w:sz w:val="20"/>
        </w:rPr>
        <w:t>Bijlagen</w:t>
      </w:r>
    </w:p>
    <w:p w14:paraId="4D78E251" w14:textId="31B64B90" w:rsidR="0090386E" w:rsidRPr="00A47B1E" w:rsidRDefault="00C2696D" w:rsidP="00642EDF">
      <w:pPr>
        <w:rPr>
          <w:rFonts w:asciiTheme="minorHAnsi" w:hAnsiTheme="minorHAnsi" w:cstheme="minorHAnsi"/>
          <w:sz w:val="20"/>
        </w:rPr>
      </w:pPr>
      <w:r w:rsidRPr="00642EDF">
        <w:rPr>
          <w:rFonts w:asciiTheme="minorHAnsi" w:hAnsiTheme="minorHAnsi" w:cstheme="minorHAnsi"/>
          <w:sz w:val="20"/>
        </w:rPr>
        <w:t>Toewijzingsreglement</w:t>
      </w:r>
    </w:p>
    <w:p w14:paraId="318F1086" w14:textId="77777777" w:rsidR="0090386E" w:rsidRDefault="0090386E" w:rsidP="00642EDF">
      <w:pPr>
        <w:rPr>
          <w:rFonts w:asciiTheme="minorHAnsi" w:hAnsiTheme="minorHAnsi" w:cstheme="minorHAnsi"/>
        </w:rPr>
      </w:pPr>
    </w:p>
    <w:p w14:paraId="23ED13EA" w14:textId="77777777" w:rsidR="00C2696D" w:rsidRDefault="00C2696D" w:rsidP="00642EDF">
      <w:pPr>
        <w:rPr>
          <w:rFonts w:asciiTheme="minorHAnsi" w:hAnsiTheme="minorHAnsi" w:cstheme="minorHAnsi"/>
        </w:rPr>
      </w:pPr>
    </w:p>
    <w:p w14:paraId="7CB3BA98" w14:textId="77777777" w:rsidR="00C2696D" w:rsidRDefault="00C2696D" w:rsidP="00642EDF">
      <w:pPr>
        <w:rPr>
          <w:rFonts w:asciiTheme="minorHAnsi" w:hAnsiTheme="minorHAnsi" w:cstheme="minorHAnsi"/>
        </w:rPr>
      </w:pPr>
    </w:p>
    <w:p w14:paraId="24A56689" w14:textId="77777777" w:rsidR="00C2696D" w:rsidRDefault="00C2696D" w:rsidP="00642EDF">
      <w:pPr>
        <w:rPr>
          <w:rFonts w:asciiTheme="minorHAnsi" w:hAnsiTheme="minorHAnsi" w:cstheme="minorHAnsi"/>
        </w:rPr>
      </w:pPr>
    </w:p>
    <w:p w14:paraId="665FAAA5" w14:textId="77777777" w:rsidR="00C2696D" w:rsidRDefault="00C2696D" w:rsidP="00642EDF">
      <w:pPr>
        <w:rPr>
          <w:rFonts w:asciiTheme="minorHAnsi" w:hAnsiTheme="minorHAnsi" w:cstheme="minorHAnsi"/>
        </w:rPr>
      </w:pPr>
    </w:p>
    <w:p w14:paraId="65865134" w14:textId="77777777" w:rsidR="00C2696D" w:rsidRDefault="00C2696D" w:rsidP="00642EDF">
      <w:pPr>
        <w:rPr>
          <w:rFonts w:asciiTheme="minorHAnsi" w:hAnsiTheme="minorHAnsi" w:cstheme="minorHAnsi"/>
        </w:rPr>
      </w:pPr>
    </w:p>
    <w:p w14:paraId="52EC7177" w14:textId="77777777" w:rsidR="00C2696D" w:rsidRPr="00A47B1E" w:rsidRDefault="00C2696D" w:rsidP="00642EDF">
      <w:pPr>
        <w:rPr>
          <w:rFonts w:asciiTheme="minorHAnsi" w:hAnsiTheme="minorHAnsi" w:cstheme="minorHAnsi"/>
        </w:rPr>
      </w:pPr>
    </w:p>
    <w:p w14:paraId="7682F96F" w14:textId="77777777" w:rsidR="00404389" w:rsidRDefault="00404389" w:rsidP="00642EDF">
      <w:pPr>
        <w:rPr>
          <w:rFonts w:asciiTheme="minorHAnsi" w:hAnsiTheme="minorHAnsi" w:cstheme="minorBidi"/>
          <w:sz w:val="22"/>
          <w:szCs w:val="22"/>
          <w:lang w:eastAsia="en-US"/>
        </w:rPr>
      </w:pPr>
    </w:p>
    <w:p w14:paraId="1A383119" w14:textId="77777777" w:rsidR="00404389" w:rsidRDefault="00404389" w:rsidP="00642EDF">
      <w:pPr>
        <w:rPr>
          <w:b/>
          <w:bCs/>
        </w:rPr>
      </w:pPr>
    </w:p>
    <w:p w14:paraId="6925566A" w14:textId="77777777" w:rsidR="00404389" w:rsidRDefault="00404389" w:rsidP="00642EDF">
      <w:pPr>
        <w:pStyle w:val="Kop2"/>
        <w:rPr>
          <w:rFonts w:asciiTheme="minorHAnsi" w:hAnsiTheme="minorHAnsi" w:cstheme="minorHAnsi"/>
        </w:rPr>
      </w:pPr>
    </w:p>
    <w:p w14:paraId="1B9EFCE2" w14:textId="77777777" w:rsidR="0055234B" w:rsidRPr="00A47B1E" w:rsidRDefault="0055234B" w:rsidP="00642EDF">
      <w:pPr>
        <w:spacing w:line="240" w:lineRule="auto"/>
        <w:rPr>
          <w:rFonts w:asciiTheme="minorHAnsi" w:hAnsiTheme="minorHAnsi" w:cstheme="minorHAnsi"/>
          <w:sz w:val="20"/>
          <w:szCs w:val="22"/>
        </w:rPr>
      </w:pPr>
    </w:p>
    <w:sectPr w:rsidR="0055234B" w:rsidRPr="00A47B1E">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8E8A8" w14:textId="77777777" w:rsidR="00415070" w:rsidRDefault="00415070" w:rsidP="00711DC3">
      <w:pPr>
        <w:spacing w:after="0" w:line="240" w:lineRule="auto"/>
      </w:pPr>
      <w:r>
        <w:separator/>
      </w:r>
    </w:p>
  </w:endnote>
  <w:endnote w:type="continuationSeparator" w:id="0">
    <w:p w14:paraId="02553230" w14:textId="77777777" w:rsidR="00415070" w:rsidRDefault="00415070" w:rsidP="00711DC3">
      <w:pPr>
        <w:spacing w:after="0" w:line="240" w:lineRule="auto"/>
      </w:pPr>
      <w:r>
        <w:continuationSeparator/>
      </w:r>
    </w:p>
  </w:endnote>
  <w:endnote w:type="continuationNotice" w:id="1">
    <w:p w14:paraId="6C862A66" w14:textId="77777777" w:rsidR="00415070" w:rsidRDefault="004150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DE1D7" w14:textId="77777777" w:rsidR="00415070" w:rsidRDefault="00415070" w:rsidP="00711DC3">
      <w:pPr>
        <w:spacing w:after="0" w:line="240" w:lineRule="auto"/>
      </w:pPr>
      <w:r>
        <w:separator/>
      </w:r>
    </w:p>
  </w:footnote>
  <w:footnote w:type="continuationSeparator" w:id="0">
    <w:p w14:paraId="5BBC015E" w14:textId="77777777" w:rsidR="00415070" w:rsidRDefault="00415070" w:rsidP="00711DC3">
      <w:pPr>
        <w:spacing w:after="0" w:line="240" w:lineRule="auto"/>
      </w:pPr>
      <w:r>
        <w:continuationSeparator/>
      </w:r>
    </w:p>
  </w:footnote>
  <w:footnote w:type="continuationNotice" w:id="1">
    <w:p w14:paraId="08B21659" w14:textId="77777777" w:rsidR="00415070" w:rsidRDefault="00415070">
      <w:pPr>
        <w:spacing w:after="0" w:line="240" w:lineRule="auto"/>
      </w:pPr>
    </w:p>
  </w:footnote>
  <w:footnote w:id="2">
    <w:p w14:paraId="6D706DB2" w14:textId="05E9BEC6" w:rsidR="00711DC3" w:rsidRPr="00CB2E6E" w:rsidRDefault="00711DC3">
      <w:pPr>
        <w:pStyle w:val="Voetnoottekst"/>
        <w:rPr>
          <w:sz w:val="16"/>
          <w:szCs w:val="16"/>
          <w:lang w:val="nl-BE"/>
        </w:rPr>
      </w:pPr>
    </w:p>
  </w:footnote>
  <w:footnote w:id="3">
    <w:p w14:paraId="0554937C" w14:textId="7C3387CE" w:rsidR="00CB2E6E" w:rsidRPr="00CB2E6E" w:rsidRDefault="00CB2E6E">
      <w:pPr>
        <w:pStyle w:val="Voetnoottekst"/>
        <w:rPr>
          <w:lang w:val="nl-BE"/>
        </w:rPr>
      </w:pPr>
      <w:r w:rsidRPr="00CB2E6E">
        <w:rPr>
          <w:rStyle w:val="Voetnootmarkering"/>
          <w:sz w:val="16"/>
          <w:szCs w:val="16"/>
        </w:rPr>
        <w:footnoteRef/>
      </w:r>
      <w:r w:rsidRPr="00CB2E6E">
        <w:rPr>
          <w:sz w:val="16"/>
          <w:szCs w:val="16"/>
        </w:rPr>
        <w:t xml:space="preserve"> </w:t>
      </w:r>
      <w:r w:rsidRPr="00CB2E6E">
        <w:rPr>
          <w:sz w:val="16"/>
          <w:szCs w:val="16"/>
          <w:lang w:val="nl-BE"/>
        </w:rPr>
        <w:t>Als de toewijzingsraad kiest om wél rekening te houden met de langdurige woonbinding in het werkingsgebied van de woonmaatschappij, kan dit alleen mét consensus</w:t>
      </w:r>
      <w:r>
        <w:rPr>
          <w:lang w:val="nl-B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2A565" w14:textId="45BD8B39" w:rsidR="008A5475" w:rsidRDefault="008A5475">
    <w:pPr>
      <w:pStyle w:val="Koptekst"/>
    </w:pPr>
    <w:r>
      <w:rPr>
        <w:noProof/>
      </w:rPr>
      <w:drawing>
        <wp:inline distT="0" distB="0" distL="0" distR="0" wp14:anchorId="1392D982" wp14:editId="03AF14DD">
          <wp:extent cx="1104265" cy="781050"/>
          <wp:effectExtent l="0" t="0" r="63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4265" cy="781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6BF2"/>
    <w:multiLevelType w:val="hybridMultilevel"/>
    <w:tmpl w:val="C1FED422"/>
    <w:lvl w:ilvl="0" w:tplc="3D2AD534">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44E845AF"/>
    <w:multiLevelType w:val="hybridMultilevel"/>
    <w:tmpl w:val="52C8331C"/>
    <w:lvl w:ilvl="0" w:tplc="4DB0C6E2">
      <w:start w:val="1"/>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13140EF"/>
    <w:multiLevelType w:val="hybridMultilevel"/>
    <w:tmpl w:val="2D80E476"/>
    <w:lvl w:ilvl="0" w:tplc="61F2FE4C">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77D867CD"/>
    <w:multiLevelType w:val="hybridMultilevel"/>
    <w:tmpl w:val="4746A2BC"/>
    <w:lvl w:ilvl="0" w:tplc="45A2D1FC">
      <w:start w:val="1"/>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16cid:durableId="1862282850">
    <w:abstractNumId w:val="1"/>
  </w:num>
  <w:num w:numId="2" w16cid:durableId="572862552">
    <w:abstractNumId w:val="2"/>
  </w:num>
  <w:num w:numId="3" w16cid:durableId="1288657991">
    <w:abstractNumId w:val="3"/>
  </w:num>
  <w:num w:numId="4" w16cid:durableId="57945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34B"/>
    <w:rsid w:val="00011B74"/>
    <w:rsid w:val="00082B65"/>
    <w:rsid w:val="00095419"/>
    <w:rsid w:val="000B272E"/>
    <w:rsid w:val="000C323C"/>
    <w:rsid w:val="00143659"/>
    <w:rsid w:val="00171A11"/>
    <w:rsid w:val="00172730"/>
    <w:rsid w:val="001B1B72"/>
    <w:rsid w:val="001E1933"/>
    <w:rsid w:val="001F7A64"/>
    <w:rsid w:val="0020170A"/>
    <w:rsid w:val="002063BB"/>
    <w:rsid w:val="00260B64"/>
    <w:rsid w:val="0028106A"/>
    <w:rsid w:val="002904A9"/>
    <w:rsid w:val="002A21C9"/>
    <w:rsid w:val="002C56FF"/>
    <w:rsid w:val="00315129"/>
    <w:rsid w:val="003C0A91"/>
    <w:rsid w:val="003D4897"/>
    <w:rsid w:val="003E77B0"/>
    <w:rsid w:val="00404389"/>
    <w:rsid w:val="00415070"/>
    <w:rsid w:val="00440941"/>
    <w:rsid w:val="0046656C"/>
    <w:rsid w:val="00481149"/>
    <w:rsid w:val="004C54A4"/>
    <w:rsid w:val="004E5763"/>
    <w:rsid w:val="00501CD1"/>
    <w:rsid w:val="00513E47"/>
    <w:rsid w:val="0055040D"/>
    <w:rsid w:val="0055234B"/>
    <w:rsid w:val="00574D92"/>
    <w:rsid w:val="00593E80"/>
    <w:rsid w:val="005A6C6B"/>
    <w:rsid w:val="005D6FF1"/>
    <w:rsid w:val="005E70D7"/>
    <w:rsid w:val="005E78A9"/>
    <w:rsid w:val="00642EDF"/>
    <w:rsid w:val="00644CC0"/>
    <w:rsid w:val="006461C7"/>
    <w:rsid w:val="00666A87"/>
    <w:rsid w:val="006C5028"/>
    <w:rsid w:val="006F3C58"/>
    <w:rsid w:val="00711DC3"/>
    <w:rsid w:val="00757AE8"/>
    <w:rsid w:val="007979E9"/>
    <w:rsid w:val="007E49A9"/>
    <w:rsid w:val="007E5074"/>
    <w:rsid w:val="007F079D"/>
    <w:rsid w:val="007F7C8F"/>
    <w:rsid w:val="00804FE7"/>
    <w:rsid w:val="00830CD1"/>
    <w:rsid w:val="008342F6"/>
    <w:rsid w:val="00837B9D"/>
    <w:rsid w:val="00865BA5"/>
    <w:rsid w:val="008A5475"/>
    <w:rsid w:val="008B01A3"/>
    <w:rsid w:val="008B77EE"/>
    <w:rsid w:val="008C59AD"/>
    <w:rsid w:val="008F4C48"/>
    <w:rsid w:val="0090386E"/>
    <w:rsid w:val="009348C0"/>
    <w:rsid w:val="00984B03"/>
    <w:rsid w:val="00991418"/>
    <w:rsid w:val="009C5E80"/>
    <w:rsid w:val="009E0417"/>
    <w:rsid w:val="009E5217"/>
    <w:rsid w:val="00A421B6"/>
    <w:rsid w:val="00A47B1E"/>
    <w:rsid w:val="00A963CB"/>
    <w:rsid w:val="00AA7C66"/>
    <w:rsid w:val="00AB658F"/>
    <w:rsid w:val="00AE208E"/>
    <w:rsid w:val="00B05FC4"/>
    <w:rsid w:val="00B13091"/>
    <w:rsid w:val="00B262D8"/>
    <w:rsid w:val="00B47C80"/>
    <w:rsid w:val="00B57FC7"/>
    <w:rsid w:val="00B91F6D"/>
    <w:rsid w:val="00BA55FB"/>
    <w:rsid w:val="00BB6B59"/>
    <w:rsid w:val="00BE5308"/>
    <w:rsid w:val="00C2696D"/>
    <w:rsid w:val="00C26E13"/>
    <w:rsid w:val="00CA3B37"/>
    <w:rsid w:val="00CB2E6E"/>
    <w:rsid w:val="00CB3DF8"/>
    <w:rsid w:val="00CD7B06"/>
    <w:rsid w:val="00CE5476"/>
    <w:rsid w:val="00CF45B1"/>
    <w:rsid w:val="00D3624A"/>
    <w:rsid w:val="00D931B1"/>
    <w:rsid w:val="00DA5F61"/>
    <w:rsid w:val="00DC4487"/>
    <w:rsid w:val="00DC5759"/>
    <w:rsid w:val="00DD2ADA"/>
    <w:rsid w:val="00E470C3"/>
    <w:rsid w:val="00E84D61"/>
    <w:rsid w:val="00EC2AAA"/>
    <w:rsid w:val="00EC50BA"/>
    <w:rsid w:val="00ED0F74"/>
    <w:rsid w:val="00EE2259"/>
    <w:rsid w:val="00F070B0"/>
    <w:rsid w:val="00F21B8A"/>
    <w:rsid w:val="00F376F4"/>
    <w:rsid w:val="00F725D4"/>
    <w:rsid w:val="00FA6C20"/>
    <w:rsid w:val="00FC7762"/>
    <w:rsid w:val="00FD3730"/>
    <w:rsid w:val="00FE0764"/>
    <w:rsid w:val="00FE18B0"/>
    <w:rsid w:val="00FE37B2"/>
    <w:rsid w:val="0C28A40C"/>
    <w:rsid w:val="7E0D0766"/>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963E8"/>
  <w15:chartTrackingRefBased/>
  <w15:docId w15:val="{2DD449E5-DB85-4C92-8FA7-74B35953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5234B"/>
    <w:pPr>
      <w:tabs>
        <w:tab w:val="right" w:pos="8505"/>
      </w:tabs>
      <w:spacing w:after="120" w:line="220" w:lineRule="exact"/>
      <w:jc w:val="both"/>
    </w:pPr>
    <w:rPr>
      <w:rFonts w:ascii="Arial" w:eastAsia="Times New Roman" w:hAnsi="Arial" w:cs="Times New Roman"/>
      <w:sz w:val="19"/>
      <w:szCs w:val="20"/>
      <w:lang w:val="nl-NL" w:eastAsia="nl-BE"/>
    </w:rPr>
  </w:style>
  <w:style w:type="paragraph" w:styleId="Kop2">
    <w:name w:val="heading 2"/>
    <w:basedOn w:val="Standaard"/>
    <w:next w:val="Standaard"/>
    <w:link w:val="Kop2Char"/>
    <w:uiPriority w:val="9"/>
    <w:unhideWhenUsed/>
    <w:qFormat/>
    <w:rsid w:val="005523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7">
    <w:name w:val="heading 7"/>
    <w:aliases w:val="niveau 5"/>
    <w:basedOn w:val="Standaard"/>
    <w:next w:val="Standaard"/>
    <w:link w:val="Kop7Char"/>
    <w:qFormat/>
    <w:rsid w:val="0055234B"/>
    <w:pPr>
      <w:keepNext/>
      <w:keepLines/>
      <w:spacing w:before="160"/>
      <w:outlineLvl w:val="6"/>
    </w:pPr>
    <w:rPr>
      <w:b/>
      <w:i/>
    </w:rPr>
  </w:style>
  <w:style w:type="paragraph" w:styleId="Kop8">
    <w:name w:val="heading 8"/>
    <w:aliases w:val="niveau 6"/>
    <w:basedOn w:val="Standaard"/>
    <w:next w:val="Standaard"/>
    <w:link w:val="Kop8Char"/>
    <w:qFormat/>
    <w:rsid w:val="0055234B"/>
    <w:pPr>
      <w:keepNext/>
      <w:keepLines/>
      <w:spacing w:before="160" w:line="240" w:lineRule="auto"/>
      <w:outlineLvl w:val="7"/>
    </w:pPr>
    <w:rPr>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7Char">
    <w:name w:val="Kop 7 Char"/>
    <w:aliases w:val="niveau 5 Char"/>
    <w:basedOn w:val="Standaardalinea-lettertype"/>
    <w:link w:val="Kop7"/>
    <w:rsid w:val="0055234B"/>
    <w:rPr>
      <w:rFonts w:ascii="Arial" w:eastAsia="Times New Roman" w:hAnsi="Arial" w:cs="Times New Roman"/>
      <w:b/>
      <w:i/>
      <w:sz w:val="19"/>
      <w:szCs w:val="20"/>
      <w:lang w:val="nl-NL" w:eastAsia="nl-BE"/>
    </w:rPr>
  </w:style>
  <w:style w:type="character" w:customStyle="1" w:styleId="Kop8Char">
    <w:name w:val="Kop 8 Char"/>
    <w:aliases w:val="niveau 6 Char"/>
    <w:basedOn w:val="Standaardalinea-lettertype"/>
    <w:link w:val="Kop8"/>
    <w:rsid w:val="0055234B"/>
    <w:rPr>
      <w:rFonts w:ascii="Arial" w:eastAsia="Times New Roman" w:hAnsi="Arial" w:cs="Times New Roman"/>
      <w:i/>
      <w:sz w:val="19"/>
      <w:szCs w:val="20"/>
      <w:lang w:val="nl-NL" w:eastAsia="nl-BE"/>
    </w:rPr>
  </w:style>
  <w:style w:type="character" w:customStyle="1" w:styleId="Kop2Char">
    <w:name w:val="Kop 2 Char"/>
    <w:basedOn w:val="Standaardalinea-lettertype"/>
    <w:link w:val="Kop2"/>
    <w:uiPriority w:val="9"/>
    <w:rsid w:val="0055234B"/>
    <w:rPr>
      <w:rFonts w:asciiTheme="majorHAnsi" w:eastAsiaTheme="majorEastAsia" w:hAnsiTheme="majorHAnsi" w:cstheme="majorBidi"/>
      <w:color w:val="2F5496" w:themeColor="accent1" w:themeShade="BF"/>
      <w:sz w:val="26"/>
      <w:szCs w:val="26"/>
      <w:lang w:val="nl-NL" w:eastAsia="nl-BE"/>
    </w:rPr>
  </w:style>
  <w:style w:type="paragraph" w:styleId="Lijstalinea">
    <w:name w:val="List Paragraph"/>
    <w:basedOn w:val="Standaard"/>
    <w:uiPriority w:val="34"/>
    <w:qFormat/>
    <w:rsid w:val="0055234B"/>
    <w:pPr>
      <w:ind w:left="720"/>
      <w:contextualSpacing/>
    </w:pPr>
  </w:style>
  <w:style w:type="character" w:styleId="Verwijzingopmerking">
    <w:name w:val="annotation reference"/>
    <w:basedOn w:val="Standaardalinea-lettertype"/>
    <w:uiPriority w:val="99"/>
    <w:semiHidden/>
    <w:unhideWhenUsed/>
    <w:rsid w:val="0055234B"/>
    <w:rPr>
      <w:sz w:val="16"/>
      <w:szCs w:val="16"/>
    </w:rPr>
  </w:style>
  <w:style w:type="paragraph" w:styleId="Tekstopmerking">
    <w:name w:val="annotation text"/>
    <w:basedOn w:val="Standaard"/>
    <w:link w:val="TekstopmerkingChar"/>
    <w:uiPriority w:val="99"/>
    <w:unhideWhenUsed/>
    <w:rsid w:val="0055234B"/>
    <w:pPr>
      <w:spacing w:line="240" w:lineRule="auto"/>
    </w:pPr>
    <w:rPr>
      <w:sz w:val="20"/>
    </w:rPr>
  </w:style>
  <w:style w:type="character" w:customStyle="1" w:styleId="TekstopmerkingChar">
    <w:name w:val="Tekst opmerking Char"/>
    <w:basedOn w:val="Standaardalinea-lettertype"/>
    <w:link w:val="Tekstopmerking"/>
    <w:uiPriority w:val="99"/>
    <w:rsid w:val="0055234B"/>
    <w:rPr>
      <w:rFonts w:ascii="Arial" w:eastAsia="Times New Roman" w:hAnsi="Arial" w:cs="Times New Roman"/>
      <w:sz w:val="20"/>
      <w:szCs w:val="20"/>
      <w:lang w:val="nl-NL" w:eastAsia="nl-BE"/>
    </w:rPr>
  </w:style>
  <w:style w:type="paragraph" w:styleId="Onderwerpvanopmerking">
    <w:name w:val="annotation subject"/>
    <w:basedOn w:val="Tekstopmerking"/>
    <w:next w:val="Tekstopmerking"/>
    <w:link w:val="OnderwerpvanopmerkingChar"/>
    <w:uiPriority w:val="99"/>
    <w:semiHidden/>
    <w:unhideWhenUsed/>
    <w:rsid w:val="0055234B"/>
    <w:rPr>
      <w:b/>
      <w:bCs/>
    </w:rPr>
  </w:style>
  <w:style w:type="character" w:customStyle="1" w:styleId="OnderwerpvanopmerkingChar">
    <w:name w:val="Onderwerp van opmerking Char"/>
    <w:basedOn w:val="TekstopmerkingChar"/>
    <w:link w:val="Onderwerpvanopmerking"/>
    <w:uiPriority w:val="99"/>
    <w:semiHidden/>
    <w:rsid w:val="0055234B"/>
    <w:rPr>
      <w:rFonts w:ascii="Arial" w:eastAsia="Times New Roman" w:hAnsi="Arial" w:cs="Times New Roman"/>
      <w:b/>
      <w:bCs/>
      <w:sz w:val="20"/>
      <w:szCs w:val="20"/>
      <w:lang w:val="nl-NL" w:eastAsia="nl-BE"/>
    </w:rPr>
  </w:style>
  <w:style w:type="character" w:styleId="Hyperlink">
    <w:name w:val="Hyperlink"/>
    <w:basedOn w:val="Standaardalinea-lettertype"/>
    <w:uiPriority w:val="99"/>
    <w:semiHidden/>
    <w:unhideWhenUsed/>
    <w:rsid w:val="00404389"/>
    <w:rPr>
      <w:color w:val="0563C1" w:themeColor="hyperlink"/>
      <w:u w:val="single"/>
    </w:rPr>
  </w:style>
  <w:style w:type="table" w:styleId="Tabelraster">
    <w:name w:val="Table Grid"/>
    <w:basedOn w:val="Standaardtabel"/>
    <w:uiPriority w:val="39"/>
    <w:rsid w:val="0040438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semiHidden/>
    <w:unhideWhenUsed/>
    <w:rsid w:val="00711DC3"/>
    <w:pPr>
      <w:spacing w:after="0" w:line="240" w:lineRule="auto"/>
    </w:pPr>
    <w:rPr>
      <w:sz w:val="20"/>
    </w:rPr>
  </w:style>
  <w:style w:type="character" w:customStyle="1" w:styleId="VoetnoottekstChar">
    <w:name w:val="Voetnoottekst Char"/>
    <w:basedOn w:val="Standaardalinea-lettertype"/>
    <w:link w:val="Voetnoottekst"/>
    <w:uiPriority w:val="99"/>
    <w:semiHidden/>
    <w:rsid w:val="00711DC3"/>
    <w:rPr>
      <w:rFonts w:ascii="Arial" w:eastAsia="Times New Roman" w:hAnsi="Arial" w:cs="Times New Roman"/>
      <w:sz w:val="20"/>
      <w:szCs w:val="20"/>
      <w:lang w:val="nl-NL" w:eastAsia="nl-BE"/>
    </w:rPr>
  </w:style>
  <w:style w:type="character" w:styleId="Voetnootmarkering">
    <w:name w:val="footnote reference"/>
    <w:basedOn w:val="Standaardalinea-lettertype"/>
    <w:uiPriority w:val="99"/>
    <w:semiHidden/>
    <w:unhideWhenUsed/>
    <w:rsid w:val="00711DC3"/>
    <w:rPr>
      <w:vertAlign w:val="superscript"/>
    </w:rPr>
  </w:style>
  <w:style w:type="paragraph" w:styleId="Koptekst">
    <w:name w:val="header"/>
    <w:basedOn w:val="Standaard"/>
    <w:link w:val="KoptekstChar"/>
    <w:uiPriority w:val="99"/>
    <w:unhideWhenUsed/>
    <w:rsid w:val="00991418"/>
    <w:pPr>
      <w:tabs>
        <w:tab w:val="clear" w:pos="8505"/>
        <w:tab w:val="center" w:pos="4536"/>
        <w:tab w:val="right" w:pos="9072"/>
      </w:tabs>
      <w:spacing w:after="0" w:line="240" w:lineRule="auto"/>
    </w:pPr>
  </w:style>
  <w:style w:type="character" w:customStyle="1" w:styleId="KoptekstChar">
    <w:name w:val="Koptekst Char"/>
    <w:basedOn w:val="Standaardalinea-lettertype"/>
    <w:link w:val="Koptekst"/>
    <w:uiPriority w:val="99"/>
    <w:rsid w:val="00991418"/>
    <w:rPr>
      <w:rFonts w:ascii="Arial" w:eastAsia="Times New Roman" w:hAnsi="Arial" w:cs="Times New Roman"/>
      <w:sz w:val="19"/>
      <w:szCs w:val="20"/>
      <w:lang w:val="nl-NL" w:eastAsia="nl-BE"/>
    </w:rPr>
  </w:style>
  <w:style w:type="paragraph" w:styleId="Voettekst">
    <w:name w:val="footer"/>
    <w:basedOn w:val="Standaard"/>
    <w:link w:val="VoettekstChar"/>
    <w:uiPriority w:val="99"/>
    <w:unhideWhenUsed/>
    <w:rsid w:val="00991418"/>
    <w:pPr>
      <w:tabs>
        <w:tab w:val="clear" w:pos="8505"/>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91418"/>
    <w:rPr>
      <w:rFonts w:ascii="Arial" w:eastAsia="Times New Roman" w:hAnsi="Arial" w:cs="Times New Roman"/>
      <w:sz w:val="19"/>
      <w:szCs w:val="20"/>
      <w:lang w:val="nl-NL" w:eastAsia="nl-BE"/>
    </w:rPr>
  </w:style>
  <w:style w:type="paragraph" w:styleId="Revisie">
    <w:name w:val="Revision"/>
    <w:hidden/>
    <w:uiPriority w:val="99"/>
    <w:semiHidden/>
    <w:rsid w:val="005D6FF1"/>
    <w:pPr>
      <w:spacing w:after="0" w:line="240" w:lineRule="auto"/>
    </w:pPr>
    <w:rPr>
      <w:rFonts w:ascii="Arial" w:eastAsia="Times New Roman" w:hAnsi="Arial" w:cs="Times New Roman"/>
      <w:sz w:val="19"/>
      <w:szCs w:val="20"/>
      <w:lang w:val="nl-NL"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134113">
      <w:bodyDiv w:val="1"/>
      <w:marLeft w:val="0"/>
      <w:marRight w:val="0"/>
      <w:marTop w:val="0"/>
      <w:marBottom w:val="0"/>
      <w:divBdr>
        <w:top w:val="none" w:sz="0" w:space="0" w:color="auto"/>
        <w:left w:val="none" w:sz="0" w:space="0" w:color="auto"/>
        <w:bottom w:val="none" w:sz="0" w:space="0" w:color="auto"/>
        <w:right w:val="none" w:sz="0" w:space="0" w:color="auto"/>
      </w:divBdr>
    </w:div>
    <w:div w:id="127127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5F4BDBC08F7354FB42D8CB7B9EF9E65" ma:contentTypeVersion="11" ma:contentTypeDescription="Een nieuw document maken." ma:contentTypeScope="" ma:versionID="dfadead5140c3109bb4402f22ed0cd28">
  <xsd:schema xmlns:xsd="http://www.w3.org/2001/XMLSchema" xmlns:xs="http://www.w3.org/2001/XMLSchema" xmlns:p="http://schemas.microsoft.com/office/2006/metadata/properties" xmlns:ns2="9ea25605-44a0-48d4-9bf4-eef201ddc677" xmlns:ns3="825701b4-d556-42ed-9474-979b155a2c4f" targetNamespace="http://schemas.microsoft.com/office/2006/metadata/properties" ma:root="true" ma:fieldsID="60a12e0eb806bba85c19636879f3414c" ns2:_="" ns3:_="">
    <xsd:import namespace="9ea25605-44a0-48d4-9bf4-eef201ddc677"/>
    <xsd:import namespace="825701b4-d556-42ed-9474-979b155a2c4f"/>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a25605-44a0-48d4-9bf4-eef201ddc6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5701b4-d556-42ed-9474-979b155a2c4f"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556C0B-93BD-4807-8C9C-1E19EC9A4078}">
  <ds:schemaRefs>
    <ds:schemaRef ds:uri="http://schemas.openxmlformats.org/officeDocument/2006/bibliography"/>
  </ds:schemaRefs>
</ds:datastoreItem>
</file>

<file path=customXml/itemProps2.xml><?xml version="1.0" encoding="utf-8"?>
<ds:datastoreItem xmlns:ds="http://schemas.openxmlformats.org/officeDocument/2006/customXml" ds:itemID="{85FA3B14-4F78-4722-8D31-91CF821C2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a25605-44a0-48d4-9bf4-eef201ddc677"/>
    <ds:schemaRef ds:uri="825701b4-d556-42ed-9474-979b155a2c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D41139-2934-45FF-BCF8-ED183333DE27}">
  <ds:schemaRefs>
    <ds:schemaRef ds:uri="http://schemas.microsoft.com/sharepoint/v3/contenttype/forms"/>
  </ds:schemaRefs>
</ds:datastoreItem>
</file>

<file path=customXml/itemProps4.xml><?xml version="1.0" encoding="utf-8"?>
<ds:datastoreItem xmlns:ds="http://schemas.openxmlformats.org/officeDocument/2006/customXml" ds:itemID="{75732669-4085-48FC-883B-74B5578E8FF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910</Words>
  <Characters>5007</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Acker Nina</dc:creator>
  <cp:keywords/>
  <dc:description/>
  <cp:lastModifiedBy>Jeanique Van Den Heede (SHMVA)</cp:lastModifiedBy>
  <cp:revision>9</cp:revision>
  <dcterms:created xsi:type="dcterms:W3CDTF">2023-11-20T16:09:00Z</dcterms:created>
  <dcterms:modified xsi:type="dcterms:W3CDTF">2023-11-23T13:26:00Z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0x01010035F4BDBC08F7354FB42D8CB7B9EF9E65</vt:lpwstr>
  </property>
</Properties>
</file>